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2"/>
        <w:gridCol w:w="5174"/>
        <w:gridCol w:w="167"/>
        <w:gridCol w:w="92"/>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44F4FD" w:rsidR="00093CA9" w:rsidRDefault="00282E4F"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0D7A00D" w:rsidR="00093CA9" w:rsidRDefault="0037026C" w:rsidP="00093CA9">
            <w:r w:rsidRPr="0037026C">
              <w:t xml:space="preserve">The Green Claims Code (Competition and Markets Authority)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3125D5C" w14:textId="77777777" w:rsidR="00093CA9" w:rsidRDefault="0084411C" w:rsidP="00093CA9">
            <w:hyperlink r:id="rId19" w:history="1">
              <w:r w:rsidRPr="009C4925">
                <w:rPr>
                  <w:rStyle w:val="Hyperlink"/>
                </w:rPr>
                <w:t>https://web.archive.org/web/20250617135323/https://greenclaims.campaign.gov.uk/</w:t>
              </w:r>
            </w:hyperlink>
            <w:r>
              <w:t xml:space="preserve"> </w:t>
            </w:r>
          </w:p>
          <w:p w14:paraId="7E6DC21B" w14:textId="77777777" w:rsidR="0084411C" w:rsidRDefault="0084411C" w:rsidP="00093CA9">
            <w:hyperlink r:id="rId20" w:history="1">
              <w:r w:rsidRPr="009C4925">
                <w:rPr>
                  <w:rStyle w:val="Hyperlink"/>
                </w:rPr>
                <w:t>https://web.archive.org/web/20250617140033/https://greenclaims.campaign.gov.uk/check-your-green-claims/</w:t>
              </w:r>
            </w:hyperlink>
            <w:r>
              <w:t xml:space="preserve"> </w:t>
            </w:r>
          </w:p>
          <w:p w14:paraId="1523C232" w14:textId="4AED8F28" w:rsidR="00B7308D" w:rsidRDefault="00B7308D" w:rsidP="00093CA9">
            <w:hyperlink r:id="rId21" w:history="1">
              <w:r w:rsidRPr="009C4925">
                <w:rPr>
                  <w:rStyle w:val="Hyperlink"/>
                </w:rPr>
                <w:t>https://web.archive.org/web/20250617142742/https://www.gov.uk/government/publications/green-claims-code-making-environmental-claims/environmental-claims-on-goods-and-services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E44D09" w:rsidR="00093CA9" w:rsidRDefault="0065299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EB43FC2" w14:textId="0A93345C" w:rsidR="00B35099" w:rsidRDefault="00B35099" w:rsidP="00093CA9">
            <w:r>
              <w:t>The Green Claims Code (</w:t>
            </w:r>
            <w:r w:rsidRPr="00B35099">
              <w:rPr>
                <w:b/>
                <w:bCs/>
              </w:rPr>
              <w:t>GCC</w:t>
            </w:r>
            <w:r>
              <w:t>) sets out practical principles that the Competition and Markets Authority (</w:t>
            </w:r>
            <w:r w:rsidRPr="00B35099">
              <w:rPr>
                <w:b/>
                <w:bCs/>
              </w:rPr>
              <w:t>CMA</w:t>
            </w:r>
            <w:r>
              <w:t xml:space="preserve">) thinks businesses should apply to help them comply with consumer protection law relating to environmental claims. </w:t>
            </w:r>
          </w:p>
          <w:p w14:paraId="33A8FF9E" w14:textId="77777777" w:rsidR="00B35099" w:rsidRPr="00B35099" w:rsidRDefault="00B35099" w:rsidP="00B35099">
            <w:pPr>
              <w:pStyle w:val="NormalWeb"/>
              <w:shd w:val="clear" w:color="auto" w:fill="FFFFFF"/>
              <w:spacing w:before="0" w:beforeAutospacing="0" w:after="30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The CMA’s view is that, in practice, the effect of the law is that businesses must ensure that their environmental claims:</w:t>
            </w:r>
          </w:p>
          <w:p w14:paraId="75632C2F"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 xml:space="preserve">are truthful and </w:t>
            </w:r>
            <w:proofErr w:type="gramStart"/>
            <w:r w:rsidRPr="00B35099">
              <w:rPr>
                <w:rFonts w:asciiTheme="minorHAnsi" w:eastAsiaTheme="minorHAnsi" w:hAnsiTheme="minorHAnsi" w:cstheme="minorBidi"/>
                <w:kern w:val="2"/>
                <w:lang w:eastAsia="en-US"/>
                <w14:ligatures w14:val="standardContextual"/>
              </w:rPr>
              <w:t>accurate;</w:t>
            </w:r>
            <w:proofErr w:type="gramEnd"/>
          </w:p>
          <w:p w14:paraId="78A2F477"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 xml:space="preserve">are clear and </w:t>
            </w:r>
            <w:proofErr w:type="gramStart"/>
            <w:r w:rsidRPr="00B35099">
              <w:rPr>
                <w:rFonts w:asciiTheme="minorHAnsi" w:eastAsiaTheme="minorHAnsi" w:hAnsiTheme="minorHAnsi" w:cstheme="minorBidi"/>
                <w:kern w:val="2"/>
                <w:lang w:eastAsia="en-US"/>
                <w14:ligatures w14:val="standardContextual"/>
              </w:rPr>
              <w:t>unambiguous;</w:t>
            </w:r>
            <w:proofErr w:type="gramEnd"/>
          </w:p>
          <w:p w14:paraId="1E8980EE"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 xml:space="preserve">do not omit or hide </w:t>
            </w:r>
            <w:proofErr w:type="gramStart"/>
            <w:r w:rsidRPr="00B35099">
              <w:rPr>
                <w:rFonts w:asciiTheme="minorHAnsi" w:eastAsiaTheme="minorHAnsi" w:hAnsiTheme="minorHAnsi" w:cstheme="minorBidi"/>
                <w:kern w:val="2"/>
                <w:lang w:eastAsia="en-US"/>
                <w14:ligatures w14:val="standardContextual"/>
              </w:rPr>
              <w:t>important;</w:t>
            </w:r>
            <w:proofErr w:type="gramEnd"/>
          </w:p>
          <w:p w14:paraId="1C23DC24"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 xml:space="preserve">compare goods or services in a fair and meaningful </w:t>
            </w:r>
            <w:proofErr w:type="gramStart"/>
            <w:r w:rsidRPr="00B35099">
              <w:rPr>
                <w:rFonts w:asciiTheme="minorHAnsi" w:eastAsiaTheme="minorHAnsi" w:hAnsiTheme="minorHAnsi" w:cstheme="minorBidi"/>
                <w:kern w:val="2"/>
                <w:lang w:eastAsia="en-US"/>
                <w14:ligatures w14:val="standardContextual"/>
              </w:rPr>
              <w:t>way;</w:t>
            </w:r>
            <w:proofErr w:type="gramEnd"/>
          </w:p>
          <w:p w14:paraId="26C114F7"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 xml:space="preserve">consider the full life cycle of the product or </w:t>
            </w:r>
            <w:proofErr w:type="gramStart"/>
            <w:r w:rsidRPr="00B35099">
              <w:rPr>
                <w:rFonts w:asciiTheme="minorHAnsi" w:eastAsiaTheme="minorHAnsi" w:hAnsiTheme="minorHAnsi" w:cstheme="minorBidi"/>
                <w:kern w:val="2"/>
                <w:lang w:eastAsia="en-US"/>
                <w14:ligatures w14:val="standardContextual"/>
              </w:rPr>
              <w:t>service;</w:t>
            </w:r>
            <w:proofErr w:type="gramEnd"/>
          </w:p>
          <w:p w14:paraId="584E10EF" w14:textId="77777777" w:rsidR="00B35099" w:rsidRPr="00B35099" w:rsidRDefault="00B35099" w:rsidP="00B35099">
            <w:pPr>
              <w:pStyle w:val="NormalWeb"/>
              <w:numPr>
                <w:ilvl w:val="0"/>
                <w:numId w:val="49"/>
              </w:numPr>
              <w:shd w:val="clear" w:color="auto" w:fill="FFFFFF"/>
              <w:spacing w:before="0" w:beforeAutospacing="0" w:after="150" w:afterAutospacing="0"/>
              <w:rPr>
                <w:rFonts w:asciiTheme="minorHAnsi" w:eastAsiaTheme="minorHAnsi" w:hAnsiTheme="minorHAnsi" w:cstheme="minorBidi"/>
                <w:kern w:val="2"/>
                <w:lang w:eastAsia="en-US"/>
                <w14:ligatures w14:val="standardContextual"/>
              </w:rPr>
            </w:pPr>
            <w:r w:rsidRPr="00B35099">
              <w:rPr>
                <w:rFonts w:asciiTheme="minorHAnsi" w:eastAsiaTheme="minorHAnsi" w:hAnsiTheme="minorHAnsi" w:cstheme="minorBidi"/>
                <w:kern w:val="2"/>
                <w:lang w:eastAsia="en-US"/>
                <w14:ligatures w14:val="standardContextual"/>
              </w:rPr>
              <w:t>are substantiated.</w:t>
            </w:r>
          </w:p>
          <w:p w14:paraId="18257824" w14:textId="2BBA1513" w:rsidR="00B35099" w:rsidRDefault="00B35099" w:rsidP="00B35099">
            <w:r>
              <w:t xml:space="preserve">The GCC is relevant to the carbon credit domain because carbon credits are primarily used to support environmental claims.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21168DC" w:rsidR="00093CA9" w:rsidRDefault="00B7308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203C02C" w:rsidR="00093CA9" w:rsidRPr="00173D7C" w:rsidRDefault="00B7308D"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109444D" w:rsidR="00093CA9" w:rsidRDefault="00DF60ED" w:rsidP="00093CA9">
            <w:r>
              <w:t>Independent non-ministerial UK government 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510C470" w:rsidR="00093CA9" w:rsidRPr="006B7B0D" w:rsidRDefault="00DF60ED" w:rsidP="00093CA9">
            <w:r>
              <w:t>Competition and Markets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F4CCE5B" w:rsidR="00093CA9" w:rsidRPr="006B7B0D" w:rsidRDefault="00DF60E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001A80E"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A98F441"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FAB484D"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8DF5348" w14:textId="77777777" w:rsidR="008214F0" w:rsidRPr="008214F0" w:rsidRDefault="008214F0" w:rsidP="008214F0">
            <w:pPr>
              <w:pStyle w:val="CommentText"/>
              <w:rPr>
                <w:sz w:val="24"/>
                <w:szCs w:val="24"/>
              </w:rPr>
            </w:pPr>
            <w:r w:rsidRPr="008214F0">
              <w:rPr>
                <w:sz w:val="24"/>
                <w:szCs w:val="24"/>
              </w:rPr>
              <w:t>“The CMA shares consumer protection law enforcement powers with other bodies, such as Trading Standards Services and sectoral regulators. Where appropriate, the CMA may work with other enforcement or regulatory bodies in relation to environmental claims.”</w:t>
            </w:r>
          </w:p>
          <w:p w14:paraId="7A8AB9AF" w14:textId="77777777" w:rsidR="008214F0" w:rsidRPr="008214F0" w:rsidRDefault="008214F0" w:rsidP="008214F0">
            <w:pPr>
              <w:pStyle w:val="CommentText"/>
              <w:rPr>
                <w:sz w:val="24"/>
                <w:szCs w:val="24"/>
              </w:rPr>
            </w:pPr>
          </w:p>
          <w:p w14:paraId="3702682F" w14:textId="77777777" w:rsidR="008214F0" w:rsidRPr="008214F0" w:rsidRDefault="008214F0" w:rsidP="008214F0">
            <w:pPr>
              <w:pStyle w:val="CommentText"/>
              <w:rPr>
                <w:sz w:val="24"/>
                <w:szCs w:val="24"/>
              </w:rPr>
            </w:pPr>
            <w:r w:rsidRPr="008214F0">
              <w:rPr>
                <w:sz w:val="24"/>
                <w:szCs w:val="24"/>
              </w:rPr>
              <w:t>“The CMA also shares certain consumer protection functions with the Advertising Standards Authority (ASA). “</w:t>
            </w:r>
          </w:p>
          <w:p w14:paraId="42D06D03" w14:textId="6889FE1B" w:rsidR="00093CA9" w:rsidRDefault="008214F0" w:rsidP="008214F0">
            <w:pPr>
              <w:pStyle w:val="CommentText"/>
            </w:pPr>
            <w:r w:rsidRPr="008214F0">
              <w:rPr>
                <w:sz w:val="24"/>
                <w:szCs w:val="24"/>
              </w:rPr>
              <w:t>We have not included these bodies in the list above as they are not necessarily overseeing implementation or enforcement of the GCC but of underlying consumer protection law (of which the GCC is simply the CMA's interpretation, although the GCC is likely to be considered by these other regulators).</w:t>
            </w:r>
            <w: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58D1EDA" w:rsidR="00093CA9" w:rsidRDefault="00491186"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7026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7026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7026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61"/>
        <w:gridCol w:w="3953"/>
        <w:gridCol w:w="137"/>
        <w:gridCol w:w="526"/>
        <w:gridCol w:w="493"/>
        <w:gridCol w:w="844"/>
        <w:gridCol w:w="1842"/>
        <w:gridCol w:w="1905"/>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18109E02" w:rsidR="00D4323A" w:rsidRPr="00CF2E7C" w:rsidRDefault="00DF60ED"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E10A5E" w:rsidRPr="00CF2E7C" w14:paraId="4D023299" w14:textId="77777777" w:rsidTr="008A4E92">
        <w:trPr>
          <w:trHeight w:val="24"/>
        </w:trPr>
        <w:tc>
          <w:tcPr>
            <w:tcW w:w="1065" w:type="dxa"/>
            <w:vAlign w:val="center"/>
          </w:tcPr>
          <w:p w14:paraId="340B3557" w14:textId="38078448" w:rsidR="00E10A5E" w:rsidRPr="00CF2E7C" w:rsidRDefault="00E10A5E" w:rsidP="00E10A5E">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E10A5E" w:rsidRPr="00CF2E7C" w:rsidRDefault="00E10A5E" w:rsidP="00E10A5E">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E10A5E" w:rsidRPr="00CF2E7C" w:rsidRDefault="00E10A5E" w:rsidP="00E10A5E">
            <w:pPr>
              <w:rPr>
                <w:rFonts w:ascii="Calibri" w:hAnsi="Calibri" w:cs="Calibri"/>
              </w:rPr>
            </w:pPr>
          </w:p>
        </w:tc>
        <w:tc>
          <w:tcPr>
            <w:tcW w:w="1674" w:type="dxa"/>
          </w:tcPr>
          <w:p w14:paraId="2EBF25E0" w14:textId="30EF4031" w:rsidR="00E10A5E" w:rsidRPr="00CF2E7C" w:rsidRDefault="00E10A5E" w:rsidP="00E10A5E">
            <w:pPr>
              <w:rPr>
                <w:rFonts w:ascii="Calibri" w:hAnsi="Calibri" w:cs="Calibri"/>
              </w:rPr>
            </w:pPr>
            <w:r w:rsidRPr="00362162">
              <w:rPr>
                <w:rFonts w:ascii="Calibri" w:hAnsi="Calibri" w:cs="Calibri"/>
              </w:rPr>
              <w:t>X</w:t>
            </w:r>
          </w:p>
        </w:tc>
        <w:tc>
          <w:tcPr>
            <w:tcW w:w="1723" w:type="dxa"/>
            <w:vAlign w:val="center"/>
          </w:tcPr>
          <w:p w14:paraId="761CE175" w14:textId="77777777" w:rsidR="00E10A5E" w:rsidRPr="00CF2E7C" w:rsidRDefault="00E10A5E" w:rsidP="00E10A5E">
            <w:pPr>
              <w:rPr>
                <w:rFonts w:ascii="Calibri" w:hAnsi="Calibri" w:cs="Calibri"/>
              </w:rPr>
            </w:pPr>
          </w:p>
        </w:tc>
      </w:tr>
      <w:tr w:rsidR="00E10A5E" w:rsidRPr="00CF2E7C" w14:paraId="630C7F88" w14:textId="77777777" w:rsidTr="008A4E92">
        <w:trPr>
          <w:trHeight w:val="24"/>
        </w:trPr>
        <w:tc>
          <w:tcPr>
            <w:tcW w:w="1065" w:type="dxa"/>
            <w:vAlign w:val="center"/>
          </w:tcPr>
          <w:p w14:paraId="685C0367" w14:textId="6887297B" w:rsidR="00E10A5E" w:rsidRPr="00CF2E7C" w:rsidRDefault="00E10A5E" w:rsidP="00E10A5E">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E10A5E" w:rsidRPr="00CF2E7C" w:rsidRDefault="00E10A5E" w:rsidP="00E10A5E">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E10A5E" w:rsidRPr="00CF2E7C" w:rsidRDefault="00E10A5E" w:rsidP="00E10A5E">
            <w:pPr>
              <w:rPr>
                <w:rFonts w:ascii="Calibri" w:hAnsi="Calibri" w:cs="Calibri"/>
              </w:rPr>
            </w:pPr>
          </w:p>
        </w:tc>
        <w:tc>
          <w:tcPr>
            <w:tcW w:w="1674" w:type="dxa"/>
          </w:tcPr>
          <w:p w14:paraId="5824835F" w14:textId="657E6281" w:rsidR="00E10A5E" w:rsidRPr="00CF2E7C" w:rsidRDefault="00E10A5E" w:rsidP="00E10A5E">
            <w:pPr>
              <w:rPr>
                <w:rFonts w:ascii="Calibri" w:hAnsi="Calibri" w:cs="Calibri"/>
              </w:rPr>
            </w:pPr>
            <w:r w:rsidRPr="00362162">
              <w:rPr>
                <w:rFonts w:ascii="Calibri" w:hAnsi="Calibri" w:cs="Calibri"/>
              </w:rPr>
              <w:t>X</w:t>
            </w:r>
          </w:p>
        </w:tc>
        <w:tc>
          <w:tcPr>
            <w:tcW w:w="1723" w:type="dxa"/>
            <w:vAlign w:val="center"/>
          </w:tcPr>
          <w:p w14:paraId="0BD0C46F" w14:textId="77777777" w:rsidR="00E10A5E" w:rsidRPr="00CF2E7C" w:rsidRDefault="00E10A5E" w:rsidP="00E10A5E">
            <w:pPr>
              <w:rPr>
                <w:rFonts w:ascii="Calibri" w:hAnsi="Calibri" w:cs="Calibri"/>
              </w:rPr>
            </w:pPr>
          </w:p>
        </w:tc>
      </w:tr>
      <w:tr w:rsidR="00E10A5E" w:rsidRPr="00CF2E7C" w14:paraId="1D69381B" w14:textId="77777777" w:rsidTr="008A4E92">
        <w:trPr>
          <w:trHeight w:val="24"/>
        </w:trPr>
        <w:tc>
          <w:tcPr>
            <w:tcW w:w="1065" w:type="dxa"/>
            <w:vAlign w:val="center"/>
          </w:tcPr>
          <w:p w14:paraId="718580DC" w14:textId="7C35B1FA" w:rsidR="00E10A5E" w:rsidRPr="00CF2E7C" w:rsidRDefault="00E10A5E" w:rsidP="00E10A5E">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E10A5E" w:rsidRPr="00CF2E7C" w:rsidRDefault="00E10A5E" w:rsidP="00E10A5E">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E10A5E" w:rsidRPr="00CF2E7C" w:rsidRDefault="00E10A5E" w:rsidP="00E10A5E">
            <w:pPr>
              <w:rPr>
                <w:rFonts w:ascii="Calibri" w:hAnsi="Calibri" w:cs="Calibri"/>
              </w:rPr>
            </w:pPr>
          </w:p>
        </w:tc>
        <w:tc>
          <w:tcPr>
            <w:tcW w:w="1674" w:type="dxa"/>
          </w:tcPr>
          <w:p w14:paraId="550F0882" w14:textId="3C95CC60" w:rsidR="00E10A5E" w:rsidRPr="00CF2E7C" w:rsidRDefault="00E10A5E" w:rsidP="00E10A5E">
            <w:pPr>
              <w:rPr>
                <w:rFonts w:ascii="Calibri" w:hAnsi="Calibri" w:cs="Calibri"/>
              </w:rPr>
            </w:pPr>
            <w:r w:rsidRPr="00362162">
              <w:rPr>
                <w:rFonts w:ascii="Calibri" w:hAnsi="Calibri" w:cs="Calibri"/>
              </w:rPr>
              <w:t>X</w:t>
            </w:r>
          </w:p>
        </w:tc>
        <w:tc>
          <w:tcPr>
            <w:tcW w:w="1723" w:type="dxa"/>
            <w:vAlign w:val="center"/>
          </w:tcPr>
          <w:p w14:paraId="3CC6459C" w14:textId="77777777" w:rsidR="00E10A5E" w:rsidRPr="00CF2E7C" w:rsidRDefault="00E10A5E" w:rsidP="00E10A5E">
            <w:pPr>
              <w:rPr>
                <w:rFonts w:ascii="Calibri" w:hAnsi="Calibri" w:cs="Calibri"/>
              </w:rPr>
            </w:pPr>
          </w:p>
        </w:tc>
      </w:tr>
      <w:tr w:rsidR="00E10A5E" w:rsidRPr="00CF2E7C" w14:paraId="1FCCD9ED" w14:textId="77777777" w:rsidTr="008A4E92">
        <w:trPr>
          <w:trHeight w:val="24"/>
        </w:trPr>
        <w:tc>
          <w:tcPr>
            <w:tcW w:w="1065" w:type="dxa"/>
            <w:vAlign w:val="center"/>
          </w:tcPr>
          <w:p w14:paraId="689A33C1" w14:textId="207F3AE8" w:rsidR="00E10A5E" w:rsidRPr="00CF2E7C" w:rsidRDefault="00E10A5E" w:rsidP="00E10A5E">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E10A5E" w:rsidRPr="00CF2E7C" w:rsidRDefault="00E10A5E" w:rsidP="00E10A5E">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E10A5E" w:rsidRPr="00CF2E7C" w:rsidRDefault="00E10A5E" w:rsidP="00E10A5E">
            <w:pPr>
              <w:rPr>
                <w:rFonts w:ascii="Calibri" w:hAnsi="Calibri" w:cs="Calibri"/>
              </w:rPr>
            </w:pPr>
          </w:p>
        </w:tc>
        <w:tc>
          <w:tcPr>
            <w:tcW w:w="1674" w:type="dxa"/>
          </w:tcPr>
          <w:p w14:paraId="45D2C527" w14:textId="7F9F8722" w:rsidR="00E10A5E" w:rsidRPr="00CF2E7C" w:rsidRDefault="00AB2A4D" w:rsidP="00E10A5E">
            <w:pPr>
              <w:rPr>
                <w:rFonts w:ascii="Calibri" w:hAnsi="Calibri" w:cs="Calibri"/>
              </w:rPr>
            </w:pPr>
            <w:r>
              <w:rPr>
                <w:rFonts w:ascii="Calibri" w:hAnsi="Calibri" w:cs="Calibri"/>
              </w:rPr>
              <w:t>X</w:t>
            </w:r>
          </w:p>
        </w:tc>
        <w:tc>
          <w:tcPr>
            <w:tcW w:w="1723" w:type="dxa"/>
            <w:vAlign w:val="center"/>
          </w:tcPr>
          <w:p w14:paraId="41E24062" w14:textId="77777777" w:rsidR="00E10A5E" w:rsidRPr="00CF2E7C" w:rsidRDefault="00E10A5E" w:rsidP="00E10A5E">
            <w:pPr>
              <w:rPr>
                <w:rFonts w:ascii="Calibri" w:hAnsi="Calibri" w:cs="Calibri"/>
              </w:rPr>
            </w:pPr>
          </w:p>
        </w:tc>
      </w:tr>
      <w:tr w:rsidR="00E10A5E" w:rsidRPr="00CF2E7C" w14:paraId="2408A643" w14:textId="77777777" w:rsidTr="008A4E92">
        <w:trPr>
          <w:trHeight w:val="300"/>
        </w:trPr>
        <w:tc>
          <w:tcPr>
            <w:tcW w:w="1065" w:type="dxa"/>
            <w:vAlign w:val="center"/>
          </w:tcPr>
          <w:p w14:paraId="10D12946" w14:textId="16B9DFCE" w:rsidR="00E10A5E" w:rsidRPr="00CF2E7C" w:rsidRDefault="00E10A5E" w:rsidP="00E10A5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E10A5E" w:rsidRPr="00CF2E7C" w:rsidRDefault="00E10A5E" w:rsidP="00E10A5E">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E10A5E" w:rsidRPr="00CF2E7C" w:rsidRDefault="00E10A5E" w:rsidP="00E10A5E">
            <w:pPr>
              <w:rPr>
                <w:rFonts w:ascii="Calibri" w:hAnsi="Calibri" w:cs="Calibri"/>
              </w:rPr>
            </w:pPr>
          </w:p>
        </w:tc>
        <w:tc>
          <w:tcPr>
            <w:tcW w:w="1674" w:type="dxa"/>
          </w:tcPr>
          <w:p w14:paraId="2C6A5022" w14:textId="5A624AD8" w:rsidR="00E10A5E" w:rsidRPr="00CF2E7C" w:rsidRDefault="00E10A5E" w:rsidP="00E10A5E">
            <w:pPr>
              <w:rPr>
                <w:rFonts w:ascii="Calibri" w:hAnsi="Calibri" w:cs="Calibri"/>
              </w:rPr>
            </w:pPr>
            <w:r w:rsidRPr="00362162">
              <w:rPr>
                <w:rFonts w:ascii="Calibri" w:hAnsi="Calibri" w:cs="Calibri"/>
              </w:rPr>
              <w:t>X</w:t>
            </w:r>
          </w:p>
        </w:tc>
        <w:tc>
          <w:tcPr>
            <w:tcW w:w="1723" w:type="dxa"/>
            <w:vAlign w:val="center"/>
          </w:tcPr>
          <w:p w14:paraId="0590EE0A" w14:textId="77777777" w:rsidR="00E10A5E" w:rsidRPr="00CF2E7C" w:rsidRDefault="00E10A5E" w:rsidP="00E10A5E">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75BDD80"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A9DEB62"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07DE210E" w:rsidR="00D4323A" w:rsidRPr="00CF2E7C" w:rsidRDefault="00E10A5E"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2D4E3EB6" w:rsidR="00092534" w:rsidRPr="00CF2E7C" w:rsidRDefault="00092534" w:rsidP="0059609B">
            <w:pPr>
              <w:jc w:val="center"/>
              <w:rPr>
                <w:rFonts w:ascii="Calibri" w:hAnsi="Calibri" w:cs="Calibri"/>
              </w:rPr>
            </w:pPr>
            <w:r w:rsidRPr="00CF2E7C">
              <w:rPr>
                <w:rFonts w:ascii="Calibri" w:hAnsi="Calibri" w:cs="Calibri"/>
              </w:rPr>
              <w:t>Voluntary</w:t>
            </w:r>
            <w:r w:rsidR="00E10A5E">
              <w:rPr>
                <w:rFonts w:ascii="Calibri" w:hAnsi="Calibri" w:cs="Calibri"/>
              </w:rPr>
              <w:t xml:space="preserve"> </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5A4D5B9A" w:rsidR="00092534" w:rsidRPr="00CF2E7C" w:rsidRDefault="00AE3F4A"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64C0168F" w:rsidR="00092534" w:rsidRPr="00CF2E7C" w:rsidRDefault="00AE3F4A"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382E5034" w:rsidR="00092534" w:rsidRPr="00CF2E7C" w:rsidRDefault="00AE3F4A"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63C7B614" w:rsidR="00092534" w:rsidRPr="00CF2E7C" w:rsidRDefault="00AE3F4A"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FA0F946" w:rsidR="00092534" w:rsidRPr="00CF2E7C" w:rsidRDefault="00AE3F4A"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C47EFA" w14:textId="743DABA6" w:rsidR="00AE3F4A" w:rsidRPr="00AE3F4A" w:rsidRDefault="00AE3F4A" w:rsidP="00AE3F4A">
            <w:pPr>
              <w:pStyle w:val="CommentText"/>
              <w:rPr>
                <w:rFonts w:ascii="Calibri" w:hAnsi="Calibri" w:cs="Calibri"/>
                <w:sz w:val="24"/>
                <w:szCs w:val="24"/>
              </w:rPr>
            </w:pPr>
            <w:r>
              <w:rPr>
                <w:rFonts w:ascii="Calibri" w:hAnsi="Calibri" w:cs="Calibri"/>
                <w:sz w:val="24"/>
                <w:szCs w:val="24"/>
              </w:rPr>
              <w:t>T</w:t>
            </w:r>
            <w:r w:rsidRPr="00AE3F4A">
              <w:rPr>
                <w:rFonts w:ascii="Calibri" w:hAnsi="Calibri" w:cs="Calibri"/>
                <w:sz w:val="24"/>
                <w:szCs w:val="24"/>
              </w:rPr>
              <w:t xml:space="preserve">he </w:t>
            </w:r>
            <w:r>
              <w:rPr>
                <w:rFonts w:ascii="Calibri" w:hAnsi="Calibri" w:cs="Calibri"/>
                <w:sz w:val="24"/>
                <w:szCs w:val="24"/>
              </w:rPr>
              <w:t>GCC</w:t>
            </w:r>
            <w:r w:rsidRPr="00AE3F4A">
              <w:rPr>
                <w:rFonts w:ascii="Calibri" w:hAnsi="Calibri" w:cs="Calibri"/>
                <w:sz w:val="24"/>
                <w:szCs w:val="24"/>
              </w:rPr>
              <w:t xml:space="preserve"> doesn’t target a specific sector and is seeking to protect consumers (businesses and individuals) in the broadest sense. </w:t>
            </w:r>
          </w:p>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7026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9C09E6B" w:rsidR="00DB1E72" w:rsidRPr="00CF2E7C" w:rsidRDefault="00D04D3C"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C90B1B2" w:rsidR="00092534" w:rsidRPr="00CF2E7C" w:rsidRDefault="0006089F"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27AC11" w14:textId="3FB67512" w:rsidR="008A4E92" w:rsidRDefault="008A4E92" w:rsidP="00CF2E7C">
            <w:pPr>
              <w:rPr>
                <w:rFonts w:ascii="Calibri" w:hAnsi="Calibri" w:cs="Calibri"/>
              </w:rPr>
            </w:pPr>
            <w:hyperlink r:id="rId22" w:history="1">
              <w:r w:rsidRPr="00AC3E1D">
                <w:rPr>
                  <w:rStyle w:val="Hyperlink"/>
                  <w:rFonts w:ascii="Calibri" w:hAnsi="Calibri" w:cs="Calibri"/>
                </w:rPr>
                <w:t>https://web.archive.org/web/20250618082848/https://sustainablefutures.linklaters.com/post/102j3zu/uk-cma-sets-out-green-compliance-standard-for-environmental-claims-in-the-fashio</w:t>
              </w:r>
            </w:hyperlink>
            <w:r>
              <w:rPr>
                <w:rFonts w:ascii="Calibri" w:hAnsi="Calibri" w:cs="Calibri"/>
              </w:rPr>
              <w:t xml:space="preserve"> </w:t>
            </w:r>
          </w:p>
          <w:p w14:paraId="0CBD5D1D" w14:textId="7E6FC174" w:rsidR="00092534" w:rsidRDefault="00461B0A" w:rsidP="00CF2E7C">
            <w:pPr>
              <w:rPr>
                <w:rFonts w:ascii="Calibri" w:hAnsi="Calibri" w:cs="Calibri"/>
              </w:rPr>
            </w:pPr>
            <w:r>
              <w:rPr>
                <w:rFonts w:ascii="Calibri" w:hAnsi="Calibri" w:cs="Calibri"/>
              </w:rPr>
              <w:t>The</w:t>
            </w:r>
            <w:r w:rsidR="0006089F">
              <w:rPr>
                <w:rFonts w:ascii="Calibri" w:hAnsi="Calibri" w:cs="Calibri"/>
              </w:rPr>
              <w:t xml:space="preserve"> above article</w:t>
            </w:r>
            <w:r>
              <w:rPr>
                <w:rFonts w:ascii="Calibri" w:hAnsi="Calibri" w:cs="Calibri"/>
              </w:rPr>
              <w:t xml:space="preserve"> reported in 2024</w:t>
            </w:r>
            <w:r w:rsidR="0006089F">
              <w:rPr>
                <w:rFonts w:ascii="Calibri" w:hAnsi="Calibri" w:cs="Calibri"/>
              </w:rPr>
              <w:t xml:space="preserve">: </w:t>
            </w:r>
            <w:r w:rsidR="0006089F">
              <w:rPr>
                <w:rFonts w:ascii="Calibri" w:hAnsi="Calibri" w:cs="Calibri"/>
                <w:i/>
                <w:iCs/>
              </w:rPr>
              <w:t xml:space="preserve">"The CMA previously published guidance on the use of green claims (known as the Green Claims Code) and spoken publicly about its concerns, but no enforcement had been concluded – until today." </w:t>
            </w:r>
            <w:r w:rsidR="008A4E92">
              <w:rPr>
                <w:rFonts w:ascii="Calibri" w:hAnsi="Calibri" w:cs="Calibri"/>
              </w:rPr>
              <w:t xml:space="preserve">The article goes onto note that the CMA published legally binding commitments agreed with ASOS, Boohoo and </w:t>
            </w:r>
            <w:r>
              <w:rPr>
                <w:rFonts w:ascii="Calibri" w:hAnsi="Calibri" w:cs="Calibri"/>
              </w:rPr>
              <w:t>George at Asda</w:t>
            </w:r>
            <w:r w:rsidR="008A4E92">
              <w:rPr>
                <w:rFonts w:ascii="Calibri" w:hAnsi="Calibri" w:cs="Calibri"/>
              </w:rPr>
              <w:t xml:space="preserve"> in relation to their green claims alongside an open letter to the fashion retail sector on the use of environmental claims.</w:t>
            </w:r>
          </w:p>
          <w:p w14:paraId="1EC61744" w14:textId="77777777" w:rsidR="008A4E92" w:rsidRDefault="008A4E92" w:rsidP="00CF2E7C">
            <w:pPr>
              <w:rPr>
                <w:rFonts w:ascii="Calibri" w:hAnsi="Calibri" w:cs="Calibri"/>
              </w:rPr>
            </w:pPr>
            <w:hyperlink r:id="rId23" w:history="1">
              <w:r w:rsidRPr="00AC3E1D">
                <w:rPr>
                  <w:rStyle w:val="Hyperlink"/>
                  <w:rFonts w:ascii="Calibri" w:hAnsi="Calibri" w:cs="Calibri"/>
                </w:rPr>
                <w:t>https://web.archive.org/web/20250618083704/https://www.gov.uk/cma-cases/asos-boohoo-and-asda-greenwashing-investigation</w:t>
              </w:r>
            </w:hyperlink>
            <w:r>
              <w:rPr>
                <w:rFonts w:ascii="Calibri" w:hAnsi="Calibri" w:cs="Calibri"/>
              </w:rPr>
              <w:t xml:space="preserve"> </w:t>
            </w:r>
          </w:p>
          <w:p w14:paraId="48C56F1D" w14:textId="77777777" w:rsidR="008A4E92" w:rsidRDefault="008A4E92" w:rsidP="00CF2E7C">
            <w:pPr>
              <w:rPr>
                <w:rFonts w:ascii="Calibri" w:hAnsi="Calibri" w:cs="Calibri"/>
              </w:rPr>
            </w:pPr>
            <w:r>
              <w:rPr>
                <w:rFonts w:ascii="Calibri" w:hAnsi="Calibri" w:cs="Calibri"/>
              </w:rPr>
              <w:lastRenderedPageBreak/>
              <w:t xml:space="preserve">The above link includes details of the undertakings accepted from ASOS, Boohoo and Asda and includes reference to: </w:t>
            </w:r>
            <w:r w:rsidRPr="008A4E92">
              <w:rPr>
                <w:rFonts w:ascii="Calibri" w:hAnsi="Calibri" w:cs="Calibri"/>
                <w:i/>
                <w:iCs/>
              </w:rPr>
              <w:t>"Green claims: ASOS, Boohoo and George at Asda must ensure all green claims are accurate and not misleading. Key information must be clear and prominent, meaning it must be expressed in plain language, easy to read, and clearly visible to shoppers."</w:t>
            </w:r>
            <w:r>
              <w:rPr>
                <w:rFonts w:ascii="Calibri" w:hAnsi="Calibri" w:cs="Calibri"/>
              </w:rPr>
              <w:t>. The undertakings also include rules on statements regarding fabrics, criteria for green ranges, use of imagery, product filters, environmental targets and accreditation schemes</w:t>
            </w:r>
            <w:r w:rsidR="008A3458">
              <w:rPr>
                <w:rFonts w:ascii="Calibri" w:hAnsi="Calibri" w:cs="Calibri"/>
              </w:rPr>
              <w:t>.</w:t>
            </w:r>
            <w:r w:rsidR="0016373A">
              <w:rPr>
                <w:rFonts w:ascii="Calibri" w:hAnsi="Calibri" w:cs="Calibri"/>
              </w:rPr>
              <w:t xml:space="preserve"> </w:t>
            </w:r>
          </w:p>
          <w:p w14:paraId="6ECDEE52" w14:textId="3D6263DA" w:rsidR="006C43A6" w:rsidRDefault="00D27282" w:rsidP="00CF2E7C">
            <w:pPr>
              <w:rPr>
                <w:rFonts w:ascii="Calibri" w:hAnsi="Calibri" w:cs="Calibri"/>
              </w:rPr>
            </w:pPr>
            <w:hyperlink r:id="rId24" w:history="1">
              <w:r w:rsidRPr="000C2BE3">
                <w:rPr>
                  <w:rStyle w:val="Hyperlink"/>
                  <w:rFonts w:ascii="Calibri" w:hAnsi="Calibri" w:cs="Calibri"/>
                </w:rPr>
                <w:t>https://web.archive.org/web/20250620113740/https://www.gov.uk/cma-cases/fast-moving-consumer-goods-fmcg</w:t>
              </w:r>
            </w:hyperlink>
            <w:r>
              <w:rPr>
                <w:rFonts w:ascii="Calibri" w:hAnsi="Calibri" w:cs="Calibri"/>
              </w:rPr>
              <w:t xml:space="preserve"> </w:t>
            </w:r>
          </w:p>
          <w:p w14:paraId="283E16EC" w14:textId="4A8ABD3F" w:rsidR="00D27282" w:rsidRDefault="00D27282" w:rsidP="00CF2E7C">
            <w:pPr>
              <w:rPr>
                <w:rFonts w:ascii="Calibri" w:hAnsi="Calibri" w:cs="Calibri"/>
              </w:rPr>
            </w:pPr>
            <w:hyperlink r:id="rId25" w:history="1">
              <w:r w:rsidRPr="000C2BE3">
                <w:rPr>
                  <w:rStyle w:val="Hyperlink"/>
                  <w:rFonts w:ascii="Calibri" w:hAnsi="Calibri" w:cs="Calibri"/>
                </w:rPr>
                <w:t>https://web.archive.org/web/20250620114551/https://www.gov.uk/government/news/unilevers-green-claims-come-under-cma-microscope</w:t>
              </w:r>
            </w:hyperlink>
            <w:r>
              <w:rPr>
                <w:rFonts w:ascii="Calibri" w:hAnsi="Calibri" w:cs="Calibri"/>
              </w:rPr>
              <w:t xml:space="preserve"> </w:t>
            </w:r>
          </w:p>
          <w:p w14:paraId="1D63F7F3" w14:textId="44D13F70" w:rsidR="006C43A6" w:rsidRDefault="006C43A6" w:rsidP="00CF2E7C">
            <w:pPr>
              <w:rPr>
                <w:rFonts w:ascii="Calibri" w:hAnsi="Calibri" w:cs="Calibri"/>
              </w:rPr>
            </w:pPr>
            <w:r>
              <w:rPr>
                <w:rFonts w:ascii="Calibri" w:hAnsi="Calibri" w:cs="Calibri"/>
              </w:rPr>
              <w:t>The above press release</w:t>
            </w:r>
            <w:r w:rsidR="00D27282">
              <w:rPr>
                <w:rFonts w:ascii="Calibri" w:hAnsi="Calibri" w:cs="Calibri"/>
              </w:rPr>
              <w:t>s</w:t>
            </w:r>
            <w:r>
              <w:rPr>
                <w:rFonts w:ascii="Calibri" w:hAnsi="Calibri" w:cs="Calibri"/>
              </w:rPr>
              <w:t xml:space="preserve"> from the CMA also notes that Unilever's environmental claims were investigated in 2023.</w:t>
            </w:r>
            <w:r w:rsidR="00D27282">
              <w:rPr>
                <w:rFonts w:ascii="Calibri" w:hAnsi="Calibri" w:cs="Calibri"/>
              </w:rPr>
              <w:t xml:space="preserve"> The CMA concerns included whether certain statements and language appeared vague and broad, claims about how some ingredients were presented in a way that may have exaggerated how "natural" the product was and certain green claims; particularly in relation to recyclability, many be unclear as they failed to specify whether they relate to all or part of a product or packaging.</w:t>
            </w:r>
          </w:p>
          <w:p w14:paraId="6022F930" w14:textId="4CB396CD" w:rsidR="00D27282" w:rsidRDefault="00D27282" w:rsidP="00CF2E7C">
            <w:r>
              <w:t xml:space="preserve">In 2024, the CMA closed its investigation into Unilever, due to arrange of factors including changes Unilever made to claims on its products and the wider impact of the CMA's programme of tackling misleading green claims. The CMA did not take a view on Unilever's compliance with consumer law. </w:t>
            </w:r>
          </w:p>
          <w:p w14:paraId="3A9B2ACB" w14:textId="6F3D5064" w:rsidR="0024312E" w:rsidRDefault="00D27282" w:rsidP="00CF2E7C">
            <w:pPr>
              <w:rPr>
                <w:rFonts w:ascii="Calibri" w:hAnsi="Calibri" w:cs="Calibri"/>
              </w:rPr>
            </w:pPr>
            <w:hyperlink r:id="rId26" w:history="1">
              <w:r w:rsidRPr="000C2BE3">
                <w:rPr>
                  <w:rStyle w:val="Hyperlink"/>
                  <w:rFonts w:ascii="Calibri" w:hAnsi="Calibri" w:cs="Calibri"/>
                </w:rPr>
                <w:t>https://web.archive.org/web/20250619090340/https://www.fieldfisher.com/en/insights/greenwashing-under-scrutiny-the-cma-s-new-powers-to-tackle-misleading-environmental-claims</w:t>
              </w:r>
            </w:hyperlink>
            <w:r w:rsidR="00461B0A">
              <w:rPr>
                <w:rFonts w:ascii="Calibri" w:hAnsi="Calibri" w:cs="Calibri"/>
              </w:rPr>
              <w:t xml:space="preserve"> </w:t>
            </w:r>
          </w:p>
          <w:p w14:paraId="66534FDB" w14:textId="2FE61323" w:rsidR="00461B0A" w:rsidRDefault="00461B0A" w:rsidP="00CF2E7C">
            <w:pPr>
              <w:rPr>
                <w:rFonts w:ascii="Calibri" w:hAnsi="Calibri" w:cs="Calibri"/>
              </w:rPr>
            </w:pPr>
            <w:r>
              <w:rPr>
                <w:rFonts w:ascii="Calibri" w:hAnsi="Calibri" w:cs="Calibri"/>
              </w:rPr>
              <w:t xml:space="preserve">The above article, published in 2025, reported that as of 6 April 2025, the CMA can directly enforce consumer protection law and issue fines of up to 10% of global turnover under the </w:t>
            </w:r>
            <w:r w:rsidRPr="00461B0A">
              <w:rPr>
                <w:rFonts w:ascii="Calibri" w:hAnsi="Calibri" w:cs="Calibri"/>
              </w:rPr>
              <w:t>Digital Markets, Competition and Consumers Act 2024</w:t>
            </w:r>
            <w:r>
              <w:rPr>
                <w:rFonts w:ascii="Calibri" w:hAnsi="Calibri" w:cs="Calibri"/>
              </w:rPr>
              <w:t xml:space="preserve"> (</w:t>
            </w:r>
            <w:proofErr w:type="spellStart"/>
            <w:r>
              <w:rPr>
                <w:rFonts w:ascii="Calibri" w:hAnsi="Calibri" w:cs="Calibri"/>
              </w:rPr>
              <w:t>DMCCA</w:t>
            </w:r>
            <w:proofErr w:type="spellEnd"/>
            <w:r>
              <w:rPr>
                <w:rFonts w:ascii="Calibri" w:hAnsi="Calibri" w:cs="Calibri"/>
              </w:rPr>
              <w:t xml:space="preserve"> 2024) for breaches of consumer law, including for misleading environmental claims. The article notes that whilst the </w:t>
            </w:r>
            <w:proofErr w:type="spellStart"/>
            <w:r>
              <w:rPr>
                <w:rFonts w:ascii="Calibri" w:hAnsi="Calibri" w:cs="Calibri"/>
              </w:rPr>
              <w:t>DMCCA</w:t>
            </w:r>
            <w:proofErr w:type="spellEnd"/>
            <w:r>
              <w:rPr>
                <w:rFonts w:ascii="Calibri" w:hAnsi="Calibri" w:cs="Calibri"/>
              </w:rPr>
              <w:t xml:space="preserve"> 2024 does not introduce a new regime specific to "greenwashing", misleading or vague environmental claims already fall within the scope of consumer law protection and the CMA has made clear this will be a priority area for early enforcement. </w:t>
            </w:r>
          </w:p>
          <w:p w14:paraId="0D1BD1DC" w14:textId="5E31D4C9" w:rsidR="00461B0A" w:rsidRDefault="005360B6" w:rsidP="00CF2E7C">
            <w:pPr>
              <w:rPr>
                <w:rFonts w:ascii="Calibri" w:hAnsi="Calibri" w:cs="Calibri"/>
              </w:rPr>
            </w:pPr>
            <w:hyperlink r:id="rId27" w:history="1">
              <w:r w:rsidRPr="00CA35FB">
                <w:rPr>
                  <w:rStyle w:val="Hyperlink"/>
                  <w:rFonts w:ascii="Calibri" w:hAnsi="Calibri" w:cs="Calibri"/>
                </w:rPr>
                <w:t>https://web.archive.org/web/20250619091125/https://www.gov.uk/government/news/cma-to-boost-consumer-and-business-confidence-as-new-consumer-protection-regime-comes-into-force</w:t>
              </w:r>
            </w:hyperlink>
            <w:r>
              <w:rPr>
                <w:rFonts w:ascii="Calibri" w:hAnsi="Calibri" w:cs="Calibri"/>
              </w:rPr>
              <w:t xml:space="preserve"> </w:t>
            </w:r>
          </w:p>
          <w:p w14:paraId="4E9BC062" w14:textId="26080E1B" w:rsidR="00461B0A" w:rsidRPr="008A4E92" w:rsidRDefault="00461B0A" w:rsidP="00CF2E7C">
            <w:pPr>
              <w:rPr>
                <w:rFonts w:ascii="Calibri" w:hAnsi="Calibri" w:cs="Calibri"/>
              </w:rPr>
            </w:pPr>
            <w:r>
              <w:rPr>
                <w:rFonts w:ascii="Calibri" w:hAnsi="Calibri" w:cs="Calibri"/>
              </w:rPr>
              <w:t xml:space="preserve">The above press release from the CMA notes their new powers under the </w:t>
            </w:r>
            <w:proofErr w:type="spellStart"/>
            <w:r>
              <w:rPr>
                <w:rFonts w:ascii="Calibri" w:hAnsi="Calibri" w:cs="Calibri"/>
              </w:rPr>
              <w:t>DMCCA</w:t>
            </w:r>
            <w:proofErr w:type="spellEnd"/>
            <w:r>
              <w:rPr>
                <w:rFonts w:ascii="Calibri" w:hAnsi="Calibri" w:cs="Calibri"/>
              </w:rPr>
              <w:t xml:space="preserve"> 2024</w:t>
            </w:r>
            <w:r w:rsidR="00491186">
              <w:rPr>
                <w:rFonts w:ascii="Calibri" w:hAnsi="Calibri" w:cs="Calibri"/>
              </w:rPr>
              <w:t xml:space="preserve"> </w:t>
            </w:r>
            <w:r>
              <w:rPr>
                <w:rFonts w:ascii="Calibri" w:hAnsi="Calibri" w:cs="Calibri"/>
              </w:rPr>
              <w:t xml:space="preserve">give them the ability to deliver more effective consumer protection. </w:t>
            </w:r>
            <w:r w:rsidR="00914D23">
              <w:rPr>
                <w:rFonts w:ascii="Calibri" w:hAnsi="Calibri" w:cs="Calibri"/>
              </w:rPr>
              <w:t xml:space="preserve">The CMA will be able to decide whether consumer laws have been infringed, rather than litigating through the courts, and to tackle any breaches directly and proportionately. </w:t>
            </w:r>
            <w:r w:rsidR="005360B6">
              <w:rPr>
                <w:rFonts w:ascii="Calibri" w:hAnsi="Calibri" w:cs="Calibri"/>
              </w:rPr>
              <w:t>In the first 12 months, the CMA is looking to target behaviour that is harmful to consumers and represents clear infringements of law including information being given to consumers that is objectively false</w:t>
            </w:r>
            <w:r w:rsidR="009423B2">
              <w:rPr>
                <w:rFonts w:ascii="Calibri" w:hAnsi="Calibri" w:cs="Calibri"/>
              </w:rPr>
              <w:t xml:space="preserve">. Under the new consumer regime, if a company infringes consumer protection law, the CMA can </w:t>
            </w:r>
            <w:proofErr w:type="spellStart"/>
            <w:r w:rsidR="009423B2">
              <w:rPr>
                <w:rFonts w:ascii="Calibri" w:hAnsi="Calibri" w:cs="Calibri"/>
              </w:rPr>
              <w:t>fine</w:t>
            </w:r>
            <w:proofErr w:type="spellEnd"/>
            <w:r w:rsidR="009423B2">
              <w:rPr>
                <w:rFonts w:ascii="Calibri" w:hAnsi="Calibri" w:cs="Calibri"/>
              </w:rPr>
              <w:t xml:space="preserve"> them up to 10% of their global turnover. Similarly, if a company breaches undertakings it has given to the CMA (such as those mentioned above given by ASO</w:t>
            </w:r>
            <w:r w:rsidR="00491186">
              <w:rPr>
                <w:rFonts w:ascii="Calibri" w:hAnsi="Calibri" w:cs="Calibri"/>
              </w:rPr>
              <w:t>S</w:t>
            </w:r>
            <w:r w:rsidR="009423B2">
              <w:rPr>
                <w:rFonts w:ascii="Calibri" w:hAnsi="Calibri" w:cs="Calibri"/>
              </w:rPr>
              <w:t xml:space="preserve">, Boohoo and Asada), it could face fines of up to 5% of its global turnover with additional penalties for continued non-compliance.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295C99D" w:rsidR="00092534" w:rsidRPr="00CF2E7C" w:rsidRDefault="00D27282"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CEF02A7" w:rsidR="00D46B07" w:rsidRPr="00CF2E7C" w:rsidRDefault="00AE3F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4F3B0D8B" w:rsidR="00D46B07" w:rsidRPr="00CF2E7C" w:rsidRDefault="00366A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0682565" w14:textId="53C31CCB" w:rsidR="00366A52" w:rsidRDefault="00366A52" w:rsidP="00366A52">
            <w:r>
              <w:t>The policy tool sets out the principles which are designed to help businesses comply with the law with respect to their environmental claims</w:t>
            </w:r>
            <w:r w:rsidR="00AE3F4A">
              <w:t>, which should</w:t>
            </w:r>
            <w:r>
              <w:t xml:space="preserve">: </w:t>
            </w:r>
          </w:p>
          <w:p w14:paraId="766F5F24" w14:textId="2FF18091" w:rsidR="00366A52" w:rsidRDefault="00AE3F4A" w:rsidP="00366A52">
            <w:pPr>
              <w:pStyle w:val="ListParagraph"/>
              <w:numPr>
                <w:ilvl w:val="0"/>
                <w:numId w:val="51"/>
              </w:numPr>
            </w:pPr>
            <w:r>
              <w:t>be</w:t>
            </w:r>
            <w:r w:rsidR="00366A52">
              <w:t xml:space="preserve"> truthful and accurate </w:t>
            </w:r>
          </w:p>
          <w:p w14:paraId="29A1E4E9" w14:textId="2888C9FD" w:rsidR="00366A52" w:rsidRDefault="00AE3F4A" w:rsidP="00366A52">
            <w:pPr>
              <w:pStyle w:val="ListParagraph"/>
              <w:numPr>
                <w:ilvl w:val="0"/>
                <w:numId w:val="51"/>
              </w:numPr>
            </w:pPr>
            <w:r>
              <w:t>be</w:t>
            </w:r>
            <w:r w:rsidR="00366A52">
              <w:t xml:space="preserve"> clear and unambiguous </w:t>
            </w:r>
          </w:p>
          <w:p w14:paraId="42D789CC" w14:textId="22B9A8FB" w:rsidR="00366A52" w:rsidRDefault="00366A52" w:rsidP="00366A52">
            <w:pPr>
              <w:pStyle w:val="ListParagraph"/>
              <w:numPr>
                <w:ilvl w:val="0"/>
                <w:numId w:val="51"/>
              </w:numPr>
            </w:pPr>
            <w:r>
              <w:t xml:space="preserve">not omit or hide important information </w:t>
            </w:r>
          </w:p>
          <w:p w14:paraId="61CE3811" w14:textId="77777777" w:rsidR="00366A52" w:rsidRDefault="00366A52" w:rsidP="00366A52">
            <w:pPr>
              <w:pStyle w:val="ListParagraph"/>
              <w:numPr>
                <w:ilvl w:val="0"/>
                <w:numId w:val="51"/>
              </w:numPr>
            </w:pPr>
            <w:r>
              <w:t xml:space="preserve">only make fair and meaningful comparisons </w:t>
            </w:r>
          </w:p>
          <w:p w14:paraId="7EC32F03" w14:textId="77777777" w:rsidR="00366A52" w:rsidRDefault="00366A52" w:rsidP="00366A52">
            <w:pPr>
              <w:pStyle w:val="ListParagraph"/>
              <w:numPr>
                <w:ilvl w:val="0"/>
                <w:numId w:val="51"/>
              </w:numPr>
            </w:pPr>
            <w:r>
              <w:t xml:space="preserve">consider the full life cycle of the product </w:t>
            </w:r>
          </w:p>
          <w:p w14:paraId="302A1807" w14:textId="287F5161" w:rsidR="00FD3587" w:rsidRPr="00366A52" w:rsidRDefault="00AE3F4A" w:rsidP="00366A52">
            <w:pPr>
              <w:pStyle w:val="ListParagraph"/>
              <w:numPr>
                <w:ilvl w:val="0"/>
                <w:numId w:val="51"/>
              </w:numPr>
            </w:pPr>
            <w:r>
              <w:t>be</w:t>
            </w:r>
            <w:r w:rsidR="00366A52">
              <w:t xml:space="preserve"> substantiated</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0EF924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66A52">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1CBA84E"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66A52">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D046B2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66A5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00392170" w:rsidR="00D46B07" w:rsidRPr="00CF2E7C" w:rsidRDefault="004F45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3D72A5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25102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8EACF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32A87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18B1A1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481ED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E3F4A">
              <w:rPr>
                <w:rFonts w:ascii="Calibri" w:eastAsia="Times New Roman" w:hAnsi="Calibri" w:cs="Calibri"/>
                <w:kern w:val="0"/>
                <w:lang w:eastAsia="en-GB"/>
                <w14:ligatures w14:val="none"/>
              </w:rPr>
              <w:t xml:space="preserve">There is nothing in the GCC about carbon credit registries.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99A0773" w:rsidR="00343937" w:rsidRPr="00CF2E7C" w:rsidRDefault="00366A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51CA09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64A9F1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C54E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771CEA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41301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0C7006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459F">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2A6A62F" w:rsidR="00343937" w:rsidRPr="00CF2E7C" w:rsidRDefault="006007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There is nothing about double-counting in the GCC. The GCC requires businesses to be clear about the use of offsets (carbon credits) when communicating with customers about things like net zero.</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834AF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83517A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7DA1C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6A52">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57F17CA" w:rsidR="000A6F11" w:rsidRPr="00CF2E7C" w:rsidRDefault="00366A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3D2AC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8D9DB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A8D39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8B533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9E8">
              <w:rPr>
                <w:rFonts w:ascii="Calibri" w:eastAsia="Times New Roman" w:hAnsi="Calibri" w:cs="Calibri"/>
                <w:kern w:val="0"/>
                <w:lang w:eastAsia="en-GB"/>
                <w14:ligatures w14:val="none"/>
              </w:rPr>
              <w:t xml:space="preserve">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36EEB3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E59D9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7FB6E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3DC6F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AA187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9E8">
              <w:rPr>
                <w:rFonts w:ascii="Calibri" w:eastAsia="Times New Roman" w:hAnsi="Calibri" w:cs="Calibri"/>
                <w:kern w:val="0"/>
                <w:lang w:eastAsia="en-GB"/>
                <w14:ligatures w14:val="none"/>
              </w:rPr>
              <w:t xml:space="preserve">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41C52F0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4A99DBF"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A1574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420D4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A8682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54A71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3EE2A2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22D405F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AF6A3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2E5E23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823C0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3E953A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E010C6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945A18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F51ED3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505390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8D0075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0FB63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5B8886E0"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1FAB13D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1242DF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4042BE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F16231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F4C7E7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149DABE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FD76CC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0674847B" w:rsidR="002119B6" w:rsidRPr="00CF2E7C" w:rsidRDefault="006007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3F0B1E1A" w:rsidR="00FE7FA5" w:rsidRPr="00CF2E7C" w:rsidRDefault="006007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88EA6D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3A410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818E7E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E8512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CB87D89" w:rsidR="00FE7FA5" w:rsidRPr="00CF2E7C" w:rsidRDefault="006007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06E72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83BE8D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D5FFB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6304E4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CB4EA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3A75C8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6965E1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1A3B2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00756">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7026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8"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7026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B6E1EC" w14:textId="77777777" w:rsidR="006708F5" w:rsidRDefault="006708F5" w:rsidP="00874E39">
      <w:r>
        <w:separator/>
      </w:r>
    </w:p>
  </w:endnote>
  <w:endnote w:type="continuationSeparator" w:id="0">
    <w:p w14:paraId="36F54612" w14:textId="77777777" w:rsidR="006708F5" w:rsidRDefault="006708F5" w:rsidP="00874E39">
      <w:r>
        <w:continuationSeparator/>
      </w:r>
    </w:p>
  </w:endnote>
  <w:endnote w:type="continuationNotice" w:id="1">
    <w:p w14:paraId="340A6A11" w14:textId="77777777" w:rsidR="006708F5" w:rsidRDefault="006708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44D5A7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C7295D" w14:textId="77777777" w:rsidR="006708F5" w:rsidRDefault="006708F5" w:rsidP="00874E39">
      <w:r>
        <w:separator/>
      </w:r>
    </w:p>
  </w:footnote>
  <w:footnote w:type="continuationSeparator" w:id="0">
    <w:p w14:paraId="67DB5BFA" w14:textId="77777777" w:rsidR="006708F5" w:rsidRDefault="006708F5" w:rsidP="00874E39">
      <w:r>
        <w:continuationSeparator/>
      </w:r>
    </w:p>
  </w:footnote>
  <w:footnote w:type="continuationNotice" w:id="1">
    <w:p w14:paraId="5799BDD9" w14:textId="77777777" w:rsidR="006708F5" w:rsidRDefault="006708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657D2F" w14:textId="77777777" w:rsidR="001C591D" w:rsidRDefault="001C59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CE70F" w14:textId="77777777" w:rsidR="001C591D" w:rsidRDefault="001C59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ED653A3"/>
    <w:multiLevelType w:val="hybridMultilevel"/>
    <w:tmpl w:val="A54E398C"/>
    <w:lvl w:ilvl="0" w:tplc="31DAC9A4">
      <w:start w:val="1"/>
      <w:numFmt w:val="bullet"/>
      <w:lvlText w:val=""/>
      <w:lvlJc w:val="left"/>
      <w:pPr>
        <w:ind w:left="720" w:hanging="360"/>
      </w:pPr>
      <w:rPr>
        <w:rFonts w:ascii="Symbol" w:hAnsi="Symbol"/>
      </w:rPr>
    </w:lvl>
    <w:lvl w:ilvl="1" w:tplc="0C601AAC">
      <w:start w:val="1"/>
      <w:numFmt w:val="bullet"/>
      <w:lvlText w:val=""/>
      <w:lvlJc w:val="left"/>
      <w:pPr>
        <w:ind w:left="720" w:hanging="360"/>
      </w:pPr>
      <w:rPr>
        <w:rFonts w:ascii="Symbol" w:hAnsi="Symbol"/>
      </w:rPr>
    </w:lvl>
    <w:lvl w:ilvl="2" w:tplc="917A7080">
      <w:start w:val="1"/>
      <w:numFmt w:val="bullet"/>
      <w:lvlText w:val=""/>
      <w:lvlJc w:val="left"/>
      <w:pPr>
        <w:ind w:left="720" w:hanging="360"/>
      </w:pPr>
      <w:rPr>
        <w:rFonts w:ascii="Symbol" w:hAnsi="Symbol"/>
      </w:rPr>
    </w:lvl>
    <w:lvl w:ilvl="3" w:tplc="7F24F512">
      <w:start w:val="1"/>
      <w:numFmt w:val="bullet"/>
      <w:lvlText w:val=""/>
      <w:lvlJc w:val="left"/>
      <w:pPr>
        <w:ind w:left="720" w:hanging="360"/>
      </w:pPr>
      <w:rPr>
        <w:rFonts w:ascii="Symbol" w:hAnsi="Symbol"/>
      </w:rPr>
    </w:lvl>
    <w:lvl w:ilvl="4" w:tplc="51941856">
      <w:start w:val="1"/>
      <w:numFmt w:val="bullet"/>
      <w:lvlText w:val=""/>
      <w:lvlJc w:val="left"/>
      <w:pPr>
        <w:ind w:left="720" w:hanging="360"/>
      </w:pPr>
      <w:rPr>
        <w:rFonts w:ascii="Symbol" w:hAnsi="Symbol"/>
      </w:rPr>
    </w:lvl>
    <w:lvl w:ilvl="5" w:tplc="F6DAA7EC">
      <w:start w:val="1"/>
      <w:numFmt w:val="bullet"/>
      <w:lvlText w:val=""/>
      <w:lvlJc w:val="left"/>
      <w:pPr>
        <w:ind w:left="720" w:hanging="360"/>
      </w:pPr>
      <w:rPr>
        <w:rFonts w:ascii="Symbol" w:hAnsi="Symbol"/>
      </w:rPr>
    </w:lvl>
    <w:lvl w:ilvl="6" w:tplc="A8C0732E">
      <w:start w:val="1"/>
      <w:numFmt w:val="bullet"/>
      <w:lvlText w:val=""/>
      <w:lvlJc w:val="left"/>
      <w:pPr>
        <w:ind w:left="720" w:hanging="360"/>
      </w:pPr>
      <w:rPr>
        <w:rFonts w:ascii="Symbol" w:hAnsi="Symbol"/>
      </w:rPr>
    </w:lvl>
    <w:lvl w:ilvl="7" w:tplc="3198DE40">
      <w:start w:val="1"/>
      <w:numFmt w:val="bullet"/>
      <w:lvlText w:val=""/>
      <w:lvlJc w:val="left"/>
      <w:pPr>
        <w:ind w:left="720" w:hanging="360"/>
      </w:pPr>
      <w:rPr>
        <w:rFonts w:ascii="Symbol" w:hAnsi="Symbol"/>
      </w:rPr>
    </w:lvl>
    <w:lvl w:ilvl="8" w:tplc="D71A81B6">
      <w:start w:val="1"/>
      <w:numFmt w:val="bullet"/>
      <w:lvlText w:val=""/>
      <w:lvlJc w:val="left"/>
      <w:pPr>
        <w:ind w:left="720" w:hanging="360"/>
      </w:pPr>
      <w:rPr>
        <w:rFonts w:ascii="Symbol" w:hAnsi="Symbol"/>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CA25A32"/>
    <w:multiLevelType w:val="multilevel"/>
    <w:tmpl w:val="0AFCC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1A47233"/>
    <w:multiLevelType w:val="hybridMultilevel"/>
    <w:tmpl w:val="BF7A39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DD15D02"/>
    <w:multiLevelType w:val="hybridMultilevel"/>
    <w:tmpl w:val="BF7A39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E7020AD"/>
    <w:multiLevelType w:val="multilevel"/>
    <w:tmpl w:val="752A5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4"/>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0"/>
  </w:num>
  <w:num w:numId="17" w16cid:durableId="1529031027">
    <w:abstractNumId w:val="9"/>
  </w:num>
  <w:num w:numId="18" w16cid:durableId="568614617">
    <w:abstractNumId w:val="18"/>
  </w:num>
  <w:num w:numId="19" w16cid:durableId="1530605858">
    <w:abstractNumId w:val="46"/>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4"/>
  </w:num>
  <w:num w:numId="27" w16cid:durableId="347872198">
    <w:abstractNumId w:val="7"/>
  </w:num>
  <w:num w:numId="28" w16cid:durableId="537133110">
    <w:abstractNumId w:val="13"/>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4"/>
  </w:num>
  <w:num w:numId="46" w16cid:durableId="947811845">
    <w:abstractNumId w:val="51"/>
  </w:num>
  <w:num w:numId="47" w16cid:durableId="342588554">
    <w:abstractNumId w:val="28"/>
  </w:num>
  <w:num w:numId="48" w16cid:durableId="318391343">
    <w:abstractNumId w:val="39"/>
  </w:num>
  <w:num w:numId="49" w16cid:durableId="1619215676">
    <w:abstractNumId w:val="43"/>
  </w:num>
  <w:num w:numId="50" w16cid:durableId="825173661">
    <w:abstractNumId w:val="49"/>
  </w:num>
  <w:num w:numId="51" w16cid:durableId="1588885651">
    <w:abstractNumId w:val="25"/>
  </w:num>
  <w:num w:numId="52" w16cid:durableId="1497529454">
    <w:abstractNumId w:val="5"/>
  </w:num>
  <w:num w:numId="53" w16cid:durableId="1968899394">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660"/>
    <w:rsid w:val="00050BDF"/>
    <w:rsid w:val="000526BB"/>
    <w:rsid w:val="00052CA3"/>
    <w:rsid w:val="000555DB"/>
    <w:rsid w:val="0006062B"/>
    <w:rsid w:val="000607C0"/>
    <w:rsid w:val="0006089F"/>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CBE"/>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662"/>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73A"/>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91D"/>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2E"/>
    <w:rsid w:val="00244207"/>
    <w:rsid w:val="00246630"/>
    <w:rsid w:val="00247B34"/>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D90"/>
    <w:rsid w:val="00272D9A"/>
    <w:rsid w:val="002737EF"/>
    <w:rsid w:val="00274335"/>
    <w:rsid w:val="00274864"/>
    <w:rsid w:val="00274B22"/>
    <w:rsid w:val="00277FC5"/>
    <w:rsid w:val="00282E4F"/>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A52"/>
    <w:rsid w:val="003676DE"/>
    <w:rsid w:val="0036779C"/>
    <w:rsid w:val="0037026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1DD5"/>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BE2"/>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01C"/>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BB7"/>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BD7"/>
    <w:rsid w:val="00460A6D"/>
    <w:rsid w:val="00461552"/>
    <w:rsid w:val="00461B0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B4A"/>
    <w:rsid w:val="00491186"/>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59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0B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1C0"/>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756"/>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8F5"/>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A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BF"/>
    <w:rsid w:val="006F4A30"/>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1B"/>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B91"/>
    <w:rsid w:val="00820D9F"/>
    <w:rsid w:val="008214F0"/>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11C"/>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8"/>
    <w:rsid w:val="008A345E"/>
    <w:rsid w:val="008A4685"/>
    <w:rsid w:val="008A4E92"/>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4D23"/>
    <w:rsid w:val="00915243"/>
    <w:rsid w:val="00916A78"/>
    <w:rsid w:val="009177A2"/>
    <w:rsid w:val="00917876"/>
    <w:rsid w:val="00920154"/>
    <w:rsid w:val="00921319"/>
    <w:rsid w:val="00921386"/>
    <w:rsid w:val="00926863"/>
    <w:rsid w:val="00926D7F"/>
    <w:rsid w:val="00927B69"/>
    <w:rsid w:val="009307C9"/>
    <w:rsid w:val="0093086E"/>
    <w:rsid w:val="00931F08"/>
    <w:rsid w:val="00932230"/>
    <w:rsid w:val="0093344C"/>
    <w:rsid w:val="009338F2"/>
    <w:rsid w:val="00933F3C"/>
    <w:rsid w:val="00934657"/>
    <w:rsid w:val="009370E9"/>
    <w:rsid w:val="00937D9B"/>
    <w:rsid w:val="00940E65"/>
    <w:rsid w:val="0094115B"/>
    <w:rsid w:val="009423B2"/>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CD9"/>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C3D"/>
    <w:rsid w:val="00A9656E"/>
    <w:rsid w:val="00AA186B"/>
    <w:rsid w:val="00AA38F6"/>
    <w:rsid w:val="00AA4965"/>
    <w:rsid w:val="00AA6DDB"/>
    <w:rsid w:val="00AB0830"/>
    <w:rsid w:val="00AB2A4D"/>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3F4A"/>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099"/>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08D"/>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9E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BC1"/>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D3C"/>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282"/>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370"/>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0ED"/>
    <w:rsid w:val="00DF6212"/>
    <w:rsid w:val="00DF6BF3"/>
    <w:rsid w:val="00DF6C42"/>
    <w:rsid w:val="00DF7242"/>
    <w:rsid w:val="00DF7896"/>
    <w:rsid w:val="00DF7DE6"/>
    <w:rsid w:val="00E020A8"/>
    <w:rsid w:val="00E02101"/>
    <w:rsid w:val="00E03122"/>
    <w:rsid w:val="00E03A10"/>
    <w:rsid w:val="00E03F7B"/>
    <w:rsid w:val="00E04C04"/>
    <w:rsid w:val="00E054E4"/>
    <w:rsid w:val="00E10A5E"/>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CAA"/>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E50"/>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7ED47B32-4FA0-4EA3-9871-8931C5766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B35099"/>
    <w:pPr>
      <w:spacing w:before="100" w:beforeAutospacing="1" w:after="100" w:afterAutospacing="1"/>
    </w:pPr>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1341834">
      <w:bodyDiv w:val="1"/>
      <w:marLeft w:val="0"/>
      <w:marRight w:val="0"/>
      <w:marTop w:val="0"/>
      <w:marBottom w:val="0"/>
      <w:divBdr>
        <w:top w:val="none" w:sz="0" w:space="0" w:color="auto"/>
        <w:left w:val="none" w:sz="0" w:space="0" w:color="auto"/>
        <w:bottom w:val="none" w:sz="0" w:space="0" w:color="auto"/>
        <w:right w:val="none" w:sz="0" w:space="0" w:color="auto"/>
      </w:divBdr>
    </w:div>
    <w:div w:id="41991253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0868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19090340/https://www.fieldfisher.com/en/insights/greenwashing-under-scrutiny-the-cma-s-new-powers-to-tackle-misleading-environmental-claims" TargetMode="External"/><Relationship Id="rId3" Type="http://schemas.openxmlformats.org/officeDocument/2006/relationships/customXml" Target="../customXml/item3.xml"/><Relationship Id="rId21" Type="http://schemas.openxmlformats.org/officeDocument/2006/relationships/hyperlink" Target="https://web.archive.org/web/20250617142742/https://www.gov.uk/government/publications/green-claims-code-making-environmental-claims/environmental-claims-on-goods-and-servic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0114551/https://www.gov.uk/government/news/unilevers-green-claims-come-under-cma-microscop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17140033/https://greenclaims.campaign.gov.uk/check-your-green-claims/" TargetMode="External"/><Relationship Id="rId29"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0113740/https://www.gov.uk/cma-cases/fast-moving-consumer-goods-fmcg"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18083704/https://www.gov.uk/cma-cases/asos-boohoo-and-asda-greenwashing-investigation" TargetMode="External"/><Relationship Id="rId28"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617135323/https://greenclaims.campaign.gov.uk/"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18082848/https://sustainablefutures.linklaters.com/post/102j3zu/uk-cma-sets-out-green-compliance-standard-for-environmental-claims-in-the-fashio" TargetMode="External"/><Relationship Id="rId27" Type="http://schemas.openxmlformats.org/officeDocument/2006/relationships/hyperlink" Target="https://web.archive.org/web/20250619091125/https://www.gov.uk/government/news/cma-to-boost-consumer-and-business-confidence-as-new-consumer-protection-regime-comes-into-force" TargetMode="External"/><Relationship Id="rId30"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22166</Words>
  <Characters>131669</Characters>
  <Application>Microsoft Office Word</Application>
  <DocSecurity>0</DocSecurity>
  <Lines>8229</Lines>
  <Paragraphs>4661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Hayley Kinsey</cp:lastModifiedBy>
  <cp:revision>2</cp:revision>
  <cp:lastPrinted>2025-03-21T00:14:00Z</cp:lastPrinted>
  <dcterms:created xsi:type="dcterms:W3CDTF">2025-07-04T10:43:00Z</dcterms:created>
  <dcterms:modified xsi:type="dcterms:W3CDTF">2025-07-04T10:43:00Z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6753b162-5406-4b5e-a78b-6fbb3abf2bbc</vt:lpwstr>
  </property>
</Properties>
</file>